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EA385D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Кармало-Аделяково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8729AA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EA385D">
        <w:rPr>
          <w:rFonts w:ascii="Times New Roman" w:hAnsi="Times New Roman"/>
          <w:sz w:val="24"/>
          <w:szCs w:val="24"/>
        </w:rPr>
        <w:t xml:space="preserve"> 1</w:t>
      </w:r>
      <w:r w:rsidR="008729AA">
        <w:rPr>
          <w:rFonts w:ascii="Times New Roman" w:hAnsi="Times New Roman"/>
          <w:sz w:val="24"/>
          <w:szCs w:val="24"/>
        </w:rPr>
        <w:t>8</w:t>
      </w:r>
      <w:r w:rsidR="00EA385D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EA385D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EA385D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b/>
          <w:sz w:val="28"/>
          <w:szCs w:val="28"/>
        </w:rPr>
        <w:t xml:space="preserve">Кармало-Аделяково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b/>
          <w:sz w:val="28"/>
          <w:szCs w:val="28"/>
        </w:rPr>
        <w:t xml:space="preserve">Кармало-Аделяково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EA385D">
        <w:rPr>
          <w:rFonts w:ascii="Times New Roman" w:hAnsi="Times New Roman"/>
          <w:sz w:val="28"/>
          <w:szCs w:val="28"/>
        </w:rPr>
        <w:t xml:space="preserve"> Кармало-Аделяково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>Кармало-Аделяково м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>Кармало-Аделяково му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ниципально</w:t>
      </w:r>
      <w:r w:rsidR="00EA385D">
        <w:rPr>
          <w:rFonts w:ascii="Times New Roman" w:eastAsia="Calibri" w:hAnsi="Times New Roman"/>
          <w:snapToGrid/>
          <w:sz w:val="28"/>
          <w:szCs w:val="28"/>
          <w:lang w:eastAsia="en-US"/>
        </w:rPr>
        <w:t>го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район</w:t>
      </w:r>
      <w:r w:rsidR="00EA385D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EA385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EA385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1A3AAC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85D">
        <w:rPr>
          <w:rFonts w:ascii="Times New Roman" w:hAnsi="Times New Roman"/>
          <w:sz w:val="28"/>
          <w:szCs w:val="28"/>
        </w:rPr>
        <w:t xml:space="preserve">Кармало-Аделяково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иразмещениюна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BC" w:rsidRDefault="002621BC" w:rsidP="00490FB5">
      <w:r>
        <w:separator/>
      </w:r>
    </w:p>
  </w:endnote>
  <w:endnote w:type="continuationSeparator" w:id="1">
    <w:p w:rsidR="002621BC" w:rsidRDefault="002621BC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BC" w:rsidRDefault="002621BC" w:rsidP="00490FB5">
      <w:r>
        <w:separator/>
      </w:r>
    </w:p>
  </w:footnote>
  <w:footnote w:type="continuationSeparator" w:id="1">
    <w:p w:rsidR="002621BC" w:rsidRDefault="002621BC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3AAC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1BC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18F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47B33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29AA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1D48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5F5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85D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2020-12-10T09:27:00Z</cp:lastPrinted>
  <dcterms:created xsi:type="dcterms:W3CDTF">2018-12-19T10:00:00Z</dcterms:created>
  <dcterms:modified xsi:type="dcterms:W3CDTF">2020-12-15T09:11:00Z</dcterms:modified>
</cp:coreProperties>
</file>